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880"/>
        <w:tblBorders>
          <w:top w:val="none" w:color="FFFFFF" w:sz="0"/>
          <w:left w:val="none" w:color="FFFFFF" w:sz="0"/>
          <w:bottom w:val="none" w:color="FFFFFF" w:sz="0"/>
          <w:right w:val="none" w:color="FFFFFF" w:sz="0"/>
          <w:insideH w:val="none" w:color="FFFFFF" w:sz="0"/>
          <w:insideV w:val="none" w:color="FFFFFF" w:sz="0"/>
        </w:tblBorders>
      </w:tblPr>
      <w:tblGrid>
        <w:gridCol w:w="10880"/>
      </w:tblGrid>
      <w:tr>
        <w:tc>
          <w:tcPr>
            <w:tcW w:type="dxa" w:w="10880"/>
            <w:tcBorders>
              <w:top w:val="none" w:color="FFFFFF" w:sz="0"/>
              <w:left w:val="none" w:color="FFFFFF" w:sz="0"/>
              <w:bottom w:val="none" w:color="FFFFFF" w:sz="0"/>
              <w:right w:val="none" w:color="FFFFFF" w:sz="0"/>
            </w:tcBorders>
            <w:shd w:fill="1B3A5B" w:color="auto" w:val="clear"/>
            <w:tcMar>
              <w:top w:type="dxa" w:w="170"/>
              <w:left w:type="dxa" w:w="240"/>
              <w:bottom w:type="dxa" w:w="170"/>
              <w:right w:type="dxa" w:w="240"/>
            </w:tcMar>
          </w:tcPr>
          <w:p>
            <w:pPr>
              <w:spacing w:after="20"/>
            </w:pPr>
            <w:r>
              <w:rPr>
                <w:rFonts w:ascii="Calibri" w:cs="Calibri" w:eastAsia="Calibri" w:hAnsi="Calibri"/>
                <w:b/>
                <w:bCs/>
                <w:i w:val="false"/>
                <w:iCs w:val="false"/>
                <w:color w:val="FFFFFF"/>
                <w:sz w:val="30"/>
                <w:szCs w:val="30"/>
              </w:rPr>
              <w:t xml:space="preserve">BUY CHIEF 360 THROUGH HGACBuy</w:t>
            </w:r>
          </w:p>
          <w:p>
            <w:r>
              <w:rPr>
                <w:rFonts w:ascii="Calibri" w:cs="Calibri" w:eastAsia="Calibri" w:hAnsi="Calibri"/>
                <w:b w:val="false"/>
                <w:bCs w:val="false"/>
                <w:i w:val="false"/>
                <w:iCs w:val="false"/>
                <w:color w:val="C9D4DF"/>
                <w:sz w:val="20"/>
                <w:szCs w:val="20"/>
              </w:rPr>
              <w:t xml:space="preserve">A step-by-step membership guide for public safety &amp; government agencies</w:t>
            </w:r>
          </w:p>
        </w:tc>
      </w:tr>
    </w:tbl>
    <w:p>
      <w:pPr>
        <w:spacing w:after="50" w:before="30"/>
        <w:jc w:val="right"/>
      </w:pPr>
      <w:r>
        <w:rPr>
          <w:rFonts w:ascii="Calibri" w:cs="Calibri" w:eastAsia="Calibri" w:hAnsi="Calibri"/>
          <w:b w:val="false"/>
          <w:bCs w:val="false"/>
          <w:i/>
          <w:iCs/>
          <w:color w:val="5A6470"/>
          <w:sz w:val="16"/>
          <w:szCs w:val="16"/>
        </w:rPr>
        <w:t xml:space="preserve">[ Place your Chief 360 logo here ]</w:t>
      </w:r>
    </w:p>
    <w:p>
      <w:pPr>
        <w:spacing w:after="90" w:line="264"/>
      </w:pPr>
      <w:r>
        <w:rPr>
          <w:rFonts w:ascii="Calibri" w:cs="Calibri" w:eastAsia="Calibri" w:hAnsi="Calibri"/>
          <w:b w:val="false"/>
          <w:bCs w:val="false"/>
          <w:i w:val="false"/>
          <w:iCs w:val="false"/>
          <w:color w:val="1A1A1A"/>
          <w:sz w:val="20"/>
          <w:szCs w:val="20"/>
        </w:rPr>
        <w:t xml:space="preserve">Chief 360’s emergency response and operational management software is available on HGACBuy contract </w:t>
      </w:r>
      <w:r>
        <w:rPr>
          <w:rFonts w:ascii="Calibri" w:cs="Calibri" w:eastAsia="Calibri" w:hAnsi="Calibri"/>
          <w:b/>
          <w:bCs/>
          <w:i w:val="false"/>
          <w:iCs w:val="false"/>
          <w:color w:val="1A1A1A"/>
          <w:sz w:val="20"/>
          <w:szCs w:val="20"/>
        </w:rPr>
        <w:t xml:space="preserve">AO05-26</w:t>
      </w:r>
      <w:r>
        <w:rPr>
          <w:rFonts w:ascii="Calibri" w:cs="Calibri" w:eastAsia="Calibri" w:hAnsi="Calibri"/>
          <w:b w:val="false"/>
          <w:bCs w:val="false"/>
          <w:i w:val="false"/>
          <w:iCs w:val="false"/>
          <w:color w:val="1A1A1A"/>
          <w:sz w:val="20"/>
          <w:szCs w:val="20"/>
        </w:rPr>
        <w:t xml:space="preserve"> at a 10% cooperative discount. Any eligible public agency can purchase through this contract </w:t>
      </w:r>
      <w:r>
        <w:rPr>
          <w:rFonts w:ascii="Calibri" w:cs="Calibri" w:eastAsia="Calibri" w:hAnsi="Calibri"/>
          <w:b/>
          <w:bCs/>
          <w:i w:val="false"/>
          <w:iCs w:val="false"/>
          <w:color w:val="1A1A1A"/>
          <w:sz w:val="20"/>
          <w:szCs w:val="20"/>
        </w:rPr>
        <w:t xml:space="preserve">without running its own competitive bid</w:t>
      </w:r>
      <w:r>
        <w:rPr>
          <w:rFonts w:ascii="Calibri" w:cs="Calibri" w:eastAsia="Calibri" w:hAnsi="Calibri"/>
          <w:b w:val="false"/>
          <w:bCs w:val="false"/>
          <w:i w:val="false"/>
          <w:iCs w:val="false"/>
          <w:color w:val="1A1A1A"/>
          <w:sz w:val="20"/>
          <w:szCs w:val="20"/>
        </w:rPr>
        <w:t xml:space="preserve"> — membership is a one-time Interlocal Contract (ILC), with no dues or purchasing obligations.</w:t>
      </w:r>
    </w:p>
    <w:p>
      <w:pPr>
        <w:pBdr>
          <w:bottom w:val="single" w:color="C1272D" w:sz="12" w:space="4"/>
        </w:pBdr>
        <w:spacing w:after="55" w:before="26"/>
      </w:pPr>
      <w:r>
        <w:rPr>
          <w:rFonts w:ascii="Calibri" w:cs="Calibri" w:eastAsia="Calibri" w:hAnsi="Calibri"/>
          <w:b/>
          <w:bCs/>
          <w:i w:val="false"/>
          <w:iCs w:val="false"/>
          <w:color w:val="1B3A5B"/>
          <w:sz w:val="22"/>
          <w:szCs w:val="22"/>
        </w:rPr>
        <w:t xml:space="preserve">CONTRACT AT A GLANCE</w:t>
      </w:r>
    </w:p>
    <w:tbl>
      <w:tblPr>
        <w:tblW w:type="dxa" w:w="10880"/>
        <w:tblBorders>
          <w:top w:val="none" w:color="FFFFFF" w:sz="0"/>
          <w:left w:val="none" w:color="FFFFFF" w:sz="0"/>
          <w:bottom w:val="none" w:color="FFFFFF" w:sz="0"/>
          <w:right w:val="none" w:color="FFFFFF" w:sz="0"/>
          <w:insideH w:val="none" w:color="FFFFFF" w:sz="0"/>
          <w:insideV w:val="none" w:color="FFFFFF" w:sz="0"/>
        </w:tblBorders>
      </w:tblPr>
      <w:tblGrid>
        <w:gridCol w:w="3046"/>
        <w:gridCol w:w="7834"/>
      </w:tblGrid>
      <w:tr>
        <w:tc>
          <w:tcPr>
            <w:tcW w:type="dxa" w:w="3046"/>
            <w:tcBorders>
              <w:top w:val="single" w:color="FFFFFF" w:sz="4"/>
              <w:left w:val="none" w:color="FFFFFF" w:sz="0"/>
              <w:bottom w:val="single" w:color="FFFFFF" w:sz="4"/>
              <w:right w:val="single" w:color="FFFFFF" w:sz="4"/>
            </w:tcBorders>
            <w:shd w:fill="F2F4F6" w:color="auto" w:val="clear"/>
            <w:tcMar>
              <w:top w:type="dxa" w:w="58"/>
              <w:left w:type="dxa" w:w="160"/>
              <w:bottom w:type="dxa" w:w="58"/>
              <w:right w:type="dxa" w:w="120"/>
            </w:tcMar>
          </w:tcPr>
          <w:p>
            <w:r>
              <w:rPr>
                <w:rFonts w:ascii="Calibri" w:cs="Calibri" w:eastAsia="Calibri" w:hAnsi="Calibri"/>
                <w:b/>
                <w:bCs/>
                <w:i w:val="false"/>
                <w:iCs w:val="false"/>
                <w:color w:val="1B3A5B"/>
                <w:sz w:val="19"/>
                <w:szCs w:val="19"/>
              </w:rPr>
              <w:t xml:space="preserve">Contract number</w:t>
            </w:r>
          </w:p>
        </w:tc>
        <w:tc>
          <w:tcPr>
            <w:tcW w:type="dxa" w:w="7834"/>
            <w:tcBorders>
              <w:top w:val="single" w:color="D6DBE1" w:sz="4"/>
              <w:left w:val="none" w:color="FFFFFF" w:sz="0"/>
              <w:bottom w:val="single" w:color="D6DBE1" w:sz="4"/>
              <w:right w:val="none" w:color="FFFFFF" w:sz="0"/>
            </w:tcBorders>
            <w:tcMar>
              <w:top w:type="dxa" w:w="58"/>
              <w:left w:type="dxa" w:w="160"/>
              <w:bottom w:type="dxa" w:w="58"/>
              <w:right w:type="dxa" w:w="160"/>
            </w:tcMar>
          </w:tcPr>
          <w:p>
            <w:r>
              <w:rPr>
                <w:rFonts w:ascii="Calibri" w:cs="Calibri" w:eastAsia="Calibri" w:hAnsi="Calibri"/>
                <w:b w:val="false"/>
                <w:bCs w:val="false"/>
                <w:i w:val="false"/>
                <w:iCs w:val="false"/>
                <w:color w:val="1A1A1A"/>
                <w:sz w:val="19"/>
                <w:szCs w:val="19"/>
              </w:rPr>
              <w:t xml:space="preserve">AO05-26</w:t>
            </w:r>
          </w:p>
        </w:tc>
      </w:tr>
      <w:tr>
        <w:tc>
          <w:tcPr>
            <w:tcW w:type="dxa" w:w="3046"/>
            <w:tcBorders>
              <w:top w:val="single" w:color="FFFFFF" w:sz="4"/>
              <w:left w:val="none" w:color="FFFFFF" w:sz="0"/>
              <w:bottom w:val="single" w:color="FFFFFF" w:sz="4"/>
              <w:right w:val="single" w:color="FFFFFF" w:sz="4"/>
            </w:tcBorders>
            <w:shd w:fill="F2F4F6" w:color="auto" w:val="clear"/>
            <w:tcMar>
              <w:top w:type="dxa" w:w="58"/>
              <w:left w:type="dxa" w:w="160"/>
              <w:bottom w:type="dxa" w:w="58"/>
              <w:right w:type="dxa" w:w="120"/>
            </w:tcMar>
          </w:tcPr>
          <w:p>
            <w:r>
              <w:rPr>
                <w:rFonts w:ascii="Calibri" w:cs="Calibri" w:eastAsia="Calibri" w:hAnsi="Calibri"/>
                <w:b/>
                <w:bCs/>
                <w:i w:val="false"/>
                <w:iCs w:val="false"/>
                <w:color w:val="1B3A5B"/>
                <w:sz w:val="19"/>
                <w:szCs w:val="19"/>
              </w:rPr>
              <w:t xml:space="preserve">Contract name</w:t>
            </w:r>
          </w:p>
        </w:tc>
        <w:tc>
          <w:tcPr>
            <w:tcW w:type="dxa" w:w="7834"/>
            <w:tcBorders>
              <w:top w:val="single" w:color="D6DBE1" w:sz="4"/>
              <w:left w:val="none" w:color="FFFFFF" w:sz="0"/>
              <w:bottom w:val="single" w:color="D6DBE1" w:sz="4"/>
              <w:right w:val="none" w:color="FFFFFF" w:sz="0"/>
            </w:tcBorders>
            <w:tcMar>
              <w:top w:type="dxa" w:w="58"/>
              <w:left w:type="dxa" w:w="160"/>
              <w:bottom w:type="dxa" w:w="58"/>
              <w:right w:type="dxa" w:w="160"/>
            </w:tcMar>
          </w:tcPr>
          <w:p>
            <w:r>
              <w:rPr>
                <w:rFonts w:ascii="Calibri" w:cs="Calibri" w:eastAsia="Calibri" w:hAnsi="Calibri"/>
                <w:b w:val="false"/>
                <w:bCs w:val="false"/>
                <w:i w:val="false"/>
                <w:iCs w:val="false"/>
                <w:color w:val="1A1A1A"/>
                <w:sz w:val="19"/>
                <w:szCs w:val="19"/>
              </w:rPr>
              <w:t xml:space="preserve">Airport Operations Equipment, Services, and Materials</w:t>
            </w:r>
          </w:p>
        </w:tc>
      </w:tr>
      <w:tr>
        <w:tc>
          <w:tcPr>
            <w:tcW w:type="dxa" w:w="3046"/>
            <w:tcBorders>
              <w:top w:val="single" w:color="FFFFFF" w:sz="4"/>
              <w:left w:val="none" w:color="FFFFFF" w:sz="0"/>
              <w:bottom w:val="single" w:color="FFFFFF" w:sz="4"/>
              <w:right w:val="single" w:color="FFFFFF" w:sz="4"/>
            </w:tcBorders>
            <w:shd w:fill="F2F4F6" w:color="auto" w:val="clear"/>
            <w:tcMar>
              <w:top w:type="dxa" w:w="58"/>
              <w:left w:type="dxa" w:w="160"/>
              <w:bottom w:type="dxa" w:w="58"/>
              <w:right w:type="dxa" w:w="120"/>
            </w:tcMar>
          </w:tcPr>
          <w:p>
            <w:r>
              <w:rPr>
                <w:rFonts w:ascii="Calibri" w:cs="Calibri" w:eastAsia="Calibri" w:hAnsi="Calibri"/>
                <w:b/>
                <w:bCs/>
                <w:i w:val="false"/>
                <w:iCs w:val="false"/>
                <w:color w:val="1B3A5B"/>
                <w:sz w:val="19"/>
                <w:szCs w:val="19"/>
              </w:rPr>
              <w:t xml:space="preserve">Category</w:t>
            </w:r>
          </w:p>
        </w:tc>
        <w:tc>
          <w:tcPr>
            <w:tcW w:type="dxa" w:w="7834"/>
            <w:tcBorders>
              <w:top w:val="single" w:color="D6DBE1" w:sz="4"/>
              <w:left w:val="none" w:color="FFFFFF" w:sz="0"/>
              <w:bottom w:val="single" w:color="D6DBE1" w:sz="4"/>
              <w:right w:val="none" w:color="FFFFFF" w:sz="0"/>
            </w:tcBorders>
            <w:tcMar>
              <w:top w:type="dxa" w:w="58"/>
              <w:left w:type="dxa" w:w="160"/>
              <w:bottom w:type="dxa" w:w="58"/>
              <w:right w:type="dxa" w:w="160"/>
            </w:tcMar>
          </w:tcPr>
          <w:p>
            <w:r>
              <w:rPr>
                <w:rFonts w:ascii="Calibri" w:cs="Calibri" w:eastAsia="Calibri" w:hAnsi="Calibri"/>
                <w:b w:val="false"/>
                <w:bCs w:val="false"/>
                <w:i w:val="false"/>
                <w:iCs w:val="false"/>
                <w:color w:val="1A1A1A"/>
                <w:sz w:val="19"/>
                <w:szCs w:val="19"/>
              </w:rPr>
              <w:t xml:space="preserve">Public Works Equipment</w:t>
            </w:r>
          </w:p>
        </w:tc>
      </w:tr>
      <w:tr>
        <w:tc>
          <w:tcPr>
            <w:tcW w:type="dxa" w:w="3046"/>
            <w:tcBorders>
              <w:top w:val="single" w:color="FFFFFF" w:sz="4"/>
              <w:left w:val="none" w:color="FFFFFF" w:sz="0"/>
              <w:bottom w:val="single" w:color="FFFFFF" w:sz="4"/>
              <w:right w:val="single" w:color="FFFFFF" w:sz="4"/>
            </w:tcBorders>
            <w:shd w:fill="F2F4F6" w:color="auto" w:val="clear"/>
            <w:tcMar>
              <w:top w:type="dxa" w:w="58"/>
              <w:left w:type="dxa" w:w="160"/>
              <w:bottom w:type="dxa" w:w="58"/>
              <w:right w:type="dxa" w:w="120"/>
            </w:tcMar>
          </w:tcPr>
          <w:p>
            <w:r>
              <w:rPr>
                <w:rFonts w:ascii="Calibri" w:cs="Calibri" w:eastAsia="Calibri" w:hAnsi="Calibri"/>
                <w:b/>
                <w:bCs/>
                <w:i w:val="false"/>
                <w:iCs w:val="false"/>
                <w:color w:val="1B3A5B"/>
                <w:sz w:val="19"/>
                <w:szCs w:val="19"/>
              </w:rPr>
              <w:t xml:space="preserve">Product on contract</w:t>
            </w:r>
          </w:p>
        </w:tc>
        <w:tc>
          <w:tcPr>
            <w:tcW w:type="dxa" w:w="7834"/>
            <w:tcBorders>
              <w:top w:val="single" w:color="D6DBE1" w:sz="4"/>
              <w:left w:val="none" w:color="FFFFFF" w:sz="0"/>
              <w:bottom w:val="single" w:color="D6DBE1" w:sz="4"/>
              <w:right w:val="none" w:color="FFFFFF" w:sz="0"/>
            </w:tcBorders>
            <w:tcMar>
              <w:top w:type="dxa" w:w="58"/>
              <w:left w:type="dxa" w:w="160"/>
              <w:bottom w:type="dxa" w:w="58"/>
              <w:right w:type="dxa" w:w="160"/>
            </w:tcMar>
          </w:tcPr>
          <w:p>
            <w:r>
              <w:rPr>
                <w:rFonts w:ascii="Calibri" w:cs="Calibri" w:eastAsia="Calibri" w:hAnsi="Calibri"/>
                <w:b w:val="false"/>
                <w:bCs w:val="false"/>
                <w:i w:val="false"/>
                <w:iCs w:val="false"/>
                <w:color w:val="1A1A1A"/>
                <w:sz w:val="19"/>
                <w:szCs w:val="19"/>
              </w:rPr>
              <w:t xml:space="preserve">Aviation emergency response software  ·  Operational management software</w:t>
            </w:r>
          </w:p>
        </w:tc>
      </w:tr>
      <w:tr>
        <w:tc>
          <w:tcPr>
            <w:tcW w:type="dxa" w:w="3046"/>
            <w:tcBorders>
              <w:top w:val="single" w:color="FFFFFF" w:sz="4"/>
              <w:left w:val="none" w:color="FFFFFF" w:sz="0"/>
              <w:bottom w:val="single" w:color="FFFFFF" w:sz="4"/>
              <w:right w:val="single" w:color="FFFFFF" w:sz="4"/>
            </w:tcBorders>
            <w:shd w:fill="F2F4F6" w:color="auto" w:val="clear"/>
            <w:tcMar>
              <w:top w:type="dxa" w:w="58"/>
              <w:left w:type="dxa" w:w="160"/>
              <w:bottom w:type="dxa" w:w="58"/>
              <w:right w:type="dxa" w:w="120"/>
            </w:tcMar>
          </w:tcPr>
          <w:p>
            <w:r>
              <w:rPr>
                <w:rFonts w:ascii="Calibri" w:cs="Calibri" w:eastAsia="Calibri" w:hAnsi="Calibri"/>
                <w:b/>
                <w:bCs/>
                <w:i w:val="false"/>
                <w:iCs w:val="false"/>
                <w:color w:val="1B3A5B"/>
                <w:sz w:val="19"/>
                <w:szCs w:val="19"/>
              </w:rPr>
              <w:t xml:space="preserve">Cooperative discount</w:t>
            </w:r>
          </w:p>
        </w:tc>
        <w:tc>
          <w:tcPr>
            <w:tcW w:type="dxa" w:w="7834"/>
            <w:tcBorders>
              <w:top w:val="single" w:color="D6DBE1" w:sz="4"/>
              <w:left w:val="none" w:color="FFFFFF" w:sz="0"/>
              <w:bottom w:val="single" w:color="D6DBE1" w:sz="4"/>
              <w:right w:val="none" w:color="FFFFFF" w:sz="0"/>
            </w:tcBorders>
            <w:tcMar>
              <w:top w:type="dxa" w:w="58"/>
              <w:left w:type="dxa" w:w="160"/>
              <w:bottom w:type="dxa" w:w="58"/>
              <w:right w:type="dxa" w:w="160"/>
            </w:tcMar>
          </w:tcPr>
          <w:p>
            <w:r>
              <w:rPr>
                <w:rFonts w:ascii="Calibri" w:cs="Calibri" w:eastAsia="Calibri" w:hAnsi="Calibri"/>
                <w:b w:val="false"/>
                <w:bCs w:val="false"/>
                <w:i w:val="false"/>
                <w:iCs w:val="false"/>
                <w:color w:val="1A1A1A"/>
                <w:sz w:val="19"/>
                <w:szCs w:val="19"/>
              </w:rPr>
              <w:t xml:space="preserve">10% off list</w:t>
            </w:r>
          </w:p>
        </w:tc>
      </w:tr>
      <w:tr>
        <w:tc>
          <w:tcPr>
            <w:tcW w:type="dxa" w:w="3046"/>
            <w:tcBorders>
              <w:top w:val="single" w:color="FFFFFF" w:sz="4"/>
              <w:left w:val="none" w:color="FFFFFF" w:sz="0"/>
              <w:bottom w:val="single" w:color="FFFFFF" w:sz="4"/>
              <w:right w:val="single" w:color="FFFFFF" w:sz="4"/>
            </w:tcBorders>
            <w:shd w:fill="F2F4F6" w:color="auto" w:val="clear"/>
            <w:tcMar>
              <w:top w:type="dxa" w:w="58"/>
              <w:left w:type="dxa" w:w="160"/>
              <w:bottom w:type="dxa" w:w="58"/>
              <w:right w:type="dxa" w:w="120"/>
            </w:tcMar>
          </w:tcPr>
          <w:p>
            <w:r>
              <w:rPr>
                <w:rFonts w:ascii="Calibri" w:cs="Calibri" w:eastAsia="Calibri" w:hAnsi="Calibri"/>
                <w:b/>
                <w:bCs/>
                <w:i w:val="false"/>
                <w:iCs w:val="false"/>
                <w:color w:val="1B3A5B"/>
                <w:sz w:val="19"/>
                <w:szCs w:val="19"/>
              </w:rPr>
              <w:t xml:space="preserve">Supplier of record</w:t>
            </w:r>
          </w:p>
        </w:tc>
        <w:tc>
          <w:tcPr>
            <w:tcW w:type="dxa" w:w="7834"/>
            <w:tcBorders>
              <w:top w:val="single" w:color="D6DBE1" w:sz="4"/>
              <w:left w:val="none" w:color="FFFFFF" w:sz="0"/>
              <w:bottom w:val="single" w:color="D6DBE1" w:sz="4"/>
              <w:right w:val="none" w:color="FFFFFF" w:sz="0"/>
            </w:tcBorders>
            <w:tcMar>
              <w:top w:type="dxa" w:w="58"/>
              <w:left w:type="dxa" w:w="160"/>
              <w:bottom w:type="dxa" w:w="58"/>
              <w:right w:type="dxa" w:w="160"/>
            </w:tcMar>
          </w:tcPr>
          <w:p>
            <w:r>
              <w:rPr>
                <w:rFonts w:ascii="Calibri" w:cs="Calibri" w:eastAsia="Calibri" w:hAnsi="Calibri"/>
                <w:b w:val="false"/>
                <w:bCs w:val="false"/>
                <w:i w:val="false"/>
                <w:iCs w:val="false"/>
                <w:color w:val="1A1A1A"/>
                <w:sz w:val="19"/>
                <w:szCs w:val="19"/>
              </w:rPr>
              <w:t xml:space="preserve">Chief Technologies, LLC (Chief 360)</w:t>
            </w:r>
          </w:p>
        </w:tc>
      </w:tr>
    </w:tbl>
    <w:p>
      <w:pPr>
        <w:spacing w:after="60"/>
      </w:pPr>
    </w:p>
    <w:tbl>
      <w:tblPr>
        <w:tblW w:type="dxa" w:w="10880"/>
        <w:tblBorders>
          <w:top w:val="none" w:color="FFFFFF" w:sz="0"/>
          <w:left w:val="none" w:color="FFFFFF" w:sz="0"/>
          <w:bottom w:val="none" w:color="FFFFFF" w:sz="0"/>
          <w:right w:val="none" w:color="FFFFFF" w:sz="0"/>
          <w:insideH w:val="none" w:color="FFFFFF" w:sz="0"/>
          <w:insideV w:val="none" w:color="FFFFFF" w:sz="0"/>
        </w:tblBorders>
      </w:tblPr>
      <w:tblGrid>
        <w:gridCol w:w="10880"/>
      </w:tblGrid>
      <w:tr>
        <w:tc>
          <w:tcPr>
            <w:tcW w:type="dxa" w:w="10880"/>
            <w:tcBorders>
              <w:top w:val="none" w:color="FFFFFF" w:sz="0"/>
              <w:left w:val="single" w:color="C1272D" w:sz="24"/>
              <w:bottom w:val="none" w:color="FFFFFF" w:sz="0"/>
              <w:right w:val="none" w:color="FFFFFF" w:sz="0"/>
            </w:tcBorders>
            <w:shd w:fill="FBEDED" w:color="auto" w:val="clear"/>
            <w:tcMar>
              <w:top w:type="dxa" w:w="100"/>
              <w:left w:type="dxa" w:w="200"/>
              <w:bottom w:type="dxa" w:w="100"/>
              <w:right w:type="dxa" w:w="200"/>
            </w:tcMar>
          </w:tcPr>
          <w:p>
            <w:pPr>
              <w:spacing w:line="264"/>
            </w:pPr>
            <w:r>
              <w:rPr>
                <w:rFonts w:ascii="Calibri" w:cs="Calibri" w:eastAsia="Calibri" w:hAnsi="Calibri"/>
                <w:b/>
                <w:bCs/>
                <w:i w:val="false"/>
                <w:iCs w:val="false"/>
                <w:color w:val="C1272D"/>
                <w:sz w:val="19"/>
                <w:szCs w:val="19"/>
              </w:rPr>
              <w:t xml:space="preserve">Why this matters:  </w:t>
            </w:r>
            <w:r>
              <w:rPr>
                <w:rFonts w:ascii="Calibri" w:cs="Calibri" w:eastAsia="Calibri" w:hAnsi="Calibri"/>
                <w:b w:val="false"/>
                <w:bCs w:val="false"/>
                <w:i w:val="false"/>
                <w:iCs w:val="false"/>
                <w:color w:val="1A1A1A"/>
                <w:sz w:val="19"/>
                <w:szCs w:val="19"/>
              </w:rPr>
              <w:t xml:space="preserve">HGACBuy is a nationwide governmental purchasing cooperative operating since 1974. Once you are a member, you can buy from any active HGACBuy contract — including AO05-26 — regardless of its category name, and doing so satisfies competitive procurement requirements, so there is no separate bid to run. Confirm your entity has legal authority to enter the Interlocal Contract; a quick review by your counsel is recommended.</w:t>
            </w:r>
          </w:p>
        </w:tc>
      </w:tr>
    </w:tbl>
    <w:p>
      <w:pPr>
        <w:spacing w:after="80"/>
      </w:pPr>
    </w:p>
    <w:p>
      <w:pPr>
        <w:pBdr>
          <w:bottom w:val="single" w:color="C1272D" w:sz="12" w:space="4"/>
        </w:pBdr>
        <w:spacing w:after="55" w:before="26"/>
      </w:pPr>
      <w:r>
        <w:rPr>
          <w:rFonts w:ascii="Calibri" w:cs="Calibri" w:eastAsia="Calibri" w:hAnsi="Calibri"/>
          <w:b/>
          <w:bCs/>
          <w:i w:val="false"/>
          <w:iCs w:val="false"/>
          <w:color w:val="1B3A5B"/>
          <w:sz w:val="22"/>
          <w:szCs w:val="22"/>
        </w:rPr>
        <w:t xml:space="preserve">HOW YOUR CLIENTS JOIN — 6 STEPS</w:t>
      </w:r>
    </w:p>
    <w:tbl>
      <w:tblPr>
        <w:tblW w:type="dxa" w:w="10880"/>
        <w:tblBorders>
          <w:top w:val="none" w:color="FFFFFF" w:sz="0"/>
          <w:left w:val="none" w:color="FFFFFF" w:sz="0"/>
          <w:bottom w:val="none" w:color="FFFFFF" w:sz="0"/>
          <w:right w:val="none" w:color="FFFFFF" w:sz="0"/>
          <w:insideH w:val="none" w:color="FFFFFF" w:sz="0"/>
          <w:insideV w:val="none" w:color="FFFFFF" w:sz="0"/>
        </w:tblBorders>
      </w:tblPr>
      <w:tblGrid>
        <w:gridCol w:w="520"/>
        <w:gridCol w:w="10360"/>
      </w:tblGrid>
      <w:tr>
        <w:tc>
          <w:tcPr>
            <w:tcW w:type="dxa" w:w="520"/>
            <w:tcBorders>
              <w:top w:val="none" w:color="FFFFFF" w:sz="0"/>
              <w:left w:val="none" w:color="FFFFFF" w:sz="0"/>
              <w:bottom w:val="none" w:color="FFFFFF" w:sz="0"/>
              <w:right w:val="none" w:color="FFFFFF" w:sz="0"/>
            </w:tcBorders>
            <w:tcMar>
              <w:top w:type="dxa" w:w="36"/>
              <w:left w:type="dxa" w:w="0"/>
              <w:bottom w:type="dxa" w:w="36"/>
              <w:right w:type="dxa" w:w="100"/>
            </w:tcMar>
          </w:tcPr>
          <w:p>
            <w:r>
              <w:rPr>
                <w:rFonts w:ascii="Calibri" w:cs="Calibri" w:eastAsia="Calibri" w:hAnsi="Calibri"/>
                <w:b/>
                <w:bCs/>
                <w:i w:val="false"/>
                <w:iCs w:val="false"/>
                <w:color w:val="C1272D"/>
                <w:sz w:val="30"/>
                <w:szCs w:val="30"/>
              </w:rPr>
              <w:t xml:space="preserve">1</w:t>
            </w:r>
          </w:p>
        </w:tc>
        <w:tc>
          <w:tcPr>
            <w:tcW w:type="dxa" w:w="10360"/>
            <w:tcBorders>
              <w:top w:val="none" w:color="FFFFFF" w:sz="0"/>
              <w:left w:val="none" w:color="FFFFFF" w:sz="0"/>
              <w:bottom w:val="none" w:color="FFFFFF" w:sz="0"/>
              <w:right w:val="none" w:color="FFFFFF" w:sz="0"/>
            </w:tcBorders>
            <w:tcMar>
              <w:top w:type="dxa" w:w="36"/>
              <w:left w:type="dxa" w:w="0"/>
              <w:bottom w:type="dxa" w:w="36"/>
              <w:right w:type="dxa" w:w="0"/>
            </w:tcMar>
          </w:tcPr>
          <w:p>
            <w:pPr>
              <w:spacing w:after="20"/>
            </w:pPr>
            <w:r>
              <w:rPr>
                <w:rFonts w:ascii="Calibri" w:cs="Calibri" w:eastAsia="Calibri" w:hAnsi="Calibri"/>
                <w:b/>
                <w:bCs/>
                <w:i w:val="false"/>
                <w:iCs w:val="false"/>
                <w:color w:val="1B3A5B"/>
                <w:sz w:val="21"/>
                <w:szCs w:val="21"/>
              </w:rPr>
              <w:t xml:space="preserve">Confirm eligibility and check membership</w:t>
            </w:r>
          </w:p>
          <w:p>
            <w:pPr>
              <w:spacing w:line="234"/>
            </w:pPr>
            <w:r>
              <w:rPr>
                <w:rFonts w:ascii="Calibri" w:cs="Calibri" w:eastAsia="Calibri" w:hAnsi="Calibri"/>
                <w:b w:val="false"/>
                <w:bCs w:val="false"/>
                <w:i w:val="false"/>
                <w:iCs w:val="false"/>
                <w:color w:val="1A1A1A"/>
                <w:sz w:val="20"/>
                <w:szCs w:val="20"/>
              </w:rPr>
              <w:t xml:space="preserve">Your entity must be a government agency (or a qualifying nonprofit providing a governmental service) with legal authority to enter the contract. Check the HGACBuy member list to see if you are already enrolled.</w:t>
            </w:r>
          </w:p>
        </w:tc>
      </w:tr>
    </w:tbl>
    <w:tbl>
      <w:tblPr>
        <w:tblW w:type="dxa" w:w="10880"/>
        <w:tblBorders>
          <w:top w:val="none" w:color="FFFFFF" w:sz="0"/>
          <w:left w:val="none" w:color="FFFFFF" w:sz="0"/>
          <w:bottom w:val="none" w:color="FFFFFF" w:sz="0"/>
          <w:right w:val="none" w:color="FFFFFF" w:sz="0"/>
          <w:insideH w:val="none" w:color="FFFFFF" w:sz="0"/>
          <w:insideV w:val="none" w:color="FFFFFF" w:sz="0"/>
        </w:tblBorders>
      </w:tblPr>
      <w:tblGrid>
        <w:gridCol w:w="520"/>
        <w:gridCol w:w="10360"/>
      </w:tblGrid>
      <w:tr>
        <w:tc>
          <w:tcPr>
            <w:tcW w:type="dxa" w:w="520"/>
            <w:tcBorders>
              <w:top w:val="none" w:color="FFFFFF" w:sz="0"/>
              <w:left w:val="none" w:color="FFFFFF" w:sz="0"/>
              <w:bottom w:val="none" w:color="FFFFFF" w:sz="0"/>
              <w:right w:val="none" w:color="FFFFFF" w:sz="0"/>
            </w:tcBorders>
            <w:tcMar>
              <w:top w:type="dxa" w:w="36"/>
              <w:left w:type="dxa" w:w="0"/>
              <w:bottom w:type="dxa" w:w="36"/>
              <w:right w:type="dxa" w:w="100"/>
            </w:tcMar>
          </w:tcPr>
          <w:p>
            <w:r>
              <w:rPr>
                <w:rFonts w:ascii="Calibri" w:cs="Calibri" w:eastAsia="Calibri" w:hAnsi="Calibri"/>
                <w:b/>
                <w:bCs/>
                <w:i w:val="false"/>
                <w:iCs w:val="false"/>
                <w:color w:val="C1272D"/>
                <w:sz w:val="30"/>
                <w:szCs w:val="30"/>
              </w:rPr>
              <w:t xml:space="preserve">2</w:t>
            </w:r>
          </w:p>
        </w:tc>
        <w:tc>
          <w:tcPr>
            <w:tcW w:type="dxa" w:w="10360"/>
            <w:tcBorders>
              <w:top w:val="none" w:color="FFFFFF" w:sz="0"/>
              <w:left w:val="none" w:color="FFFFFF" w:sz="0"/>
              <w:bottom w:val="none" w:color="FFFFFF" w:sz="0"/>
              <w:right w:val="none" w:color="FFFFFF" w:sz="0"/>
            </w:tcBorders>
            <w:tcMar>
              <w:top w:type="dxa" w:w="36"/>
              <w:left w:type="dxa" w:w="0"/>
              <w:bottom w:type="dxa" w:w="36"/>
              <w:right w:type="dxa" w:w="0"/>
            </w:tcMar>
          </w:tcPr>
          <w:p>
            <w:pPr>
              <w:spacing w:after="20"/>
            </w:pPr>
            <w:r>
              <w:rPr>
                <w:rFonts w:ascii="Calibri" w:cs="Calibri" w:eastAsia="Calibri" w:hAnsi="Calibri"/>
                <w:b/>
                <w:bCs/>
                <w:i w:val="false"/>
                <w:iCs w:val="false"/>
                <w:color w:val="1B3A5B"/>
                <w:sz w:val="21"/>
                <w:szCs w:val="21"/>
              </w:rPr>
              <w:t xml:space="preserve">Complete the Interlocal Contract (ILC) form</w:t>
            </w:r>
          </w:p>
          <w:p>
            <w:pPr>
              <w:spacing w:line="234"/>
            </w:pPr>
            <w:r>
              <w:rPr>
                <w:rFonts w:ascii="Calibri" w:cs="Calibri" w:eastAsia="Calibri" w:hAnsi="Calibri"/>
                <w:b w:val="false"/>
                <w:bCs w:val="false"/>
                <w:i w:val="false"/>
                <w:iCs w:val="false"/>
                <w:color w:val="1A1A1A"/>
                <w:sz w:val="20"/>
                <w:szCs w:val="20"/>
              </w:rPr>
              <w:t xml:space="preserve">Fill out all required fields on the ILC form at </w:t>
            </w:r>
            <w:r>
              <w:rPr>
                <w:rFonts w:ascii="Calibri" w:cs="Calibri" w:eastAsia="Calibri" w:hAnsi="Calibri"/>
                <w:b/>
                <w:bCs/>
                <w:i w:val="false"/>
                <w:iCs w:val="false"/>
                <w:color w:val="1A1A1A"/>
                <w:sz w:val="20"/>
                <w:szCs w:val="20"/>
              </w:rPr>
              <w:t xml:space="preserve">hgacbuy.org/ilc-form</w:t>
            </w:r>
            <w:r>
              <w:rPr>
                <w:rFonts w:ascii="Calibri" w:cs="Calibri" w:eastAsia="Calibri" w:hAnsi="Calibri"/>
                <w:b w:val="false"/>
                <w:bCs w:val="false"/>
                <w:i w:val="false"/>
                <w:iCs w:val="false"/>
                <w:color w:val="1A1A1A"/>
                <w:sz w:val="20"/>
                <w:szCs w:val="20"/>
              </w:rPr>
              <w:t xml:space="preserve">, including the name and email of your Authorized Official. (Nonprofits: see the note below.)</w:t>
            </w:r>
          </w:p>
        </w:tc>
      </w:tr>
    </w:tbl>
    <w:tbl>
      <w:tblPr>
        <w:tblW w:type="dxa" w:w="10880"/>
        <w:tblBorders>
          <w:top w:val="none" w:color="FFFFFF" w:sz="0"/>
          <w:left w:val="none" w:color="FFFFFF" w:sz="0"/>
          <w:bottom w:val="none" w:color="FFFFFF" w:sz="0"/>
          <w:right w:val="none" w:color="FFFFFF" w:sz="0"/>
          <w:insideH w:val="none" w:color="FFFFFF" w:sz="0"/>
          <w:insideV w:val="none" w:color="FFFFFF" w:sz="0"/>
        </w:tblBorders>
      </w:tblPr>
      <w:tblGrid>
        <w:gridCol w:w="520"/>
        <w:gridCol w:w="10360"/>
      </w:tblGrid>
      <w:tr>
        <w:tc>
          <w:tcPr>
            <w:tcW w:type="dxa" w:w="520"/>
            <w:tcBorders>
              <w:top w:val="none" w:color="FFFFFF" w:sz="0"/>
              <w:left w:val="none" w:color="FFFFFF" w:sz="0"/>
              <w:bottom w:val="none" w:color="FFFFFF" w:sz="0"/>
              <w:right w:val="none" w:color="FFFFFF" w:sz="0"/>
            </w:tcBorders>
            <w:tcMar>
              <w:top w:type="dxa" w:w="36"/>
              <w:left w:type="dxa" w:w="0"/>
              <w:bottom w:type="dxa" w:w="36"/>
              <w:right w:type="dxa" w:w="100"/>
            </w:tcMar>
          </w:tcPr>
          <w:p>
            <w:r>
              <w:rPr>
                <w:rFonts w:ascii="Calibri" w:cs="Calibri" w:eastAsia="Calibri" w:hAnsi="Calibri"/>
                <w:b/>
                <w:bCs/>
                <w:i w:val="false"/>
                <w:iCs w:val="false"/>
                <w:color w:val="C1272D"/>
                <w:sz w:val="30"/>
                <w:szCs w:val="30"/>
              </w:rPr>
              <w:t xml:space="preserve">3</w:t>
            </w:r>
          </w:p>
        </w:tc>
        <w:tc>
          <w:tcPr>
            <w:tcW w:type="dxa" w:w="10360"/>
            <w:tcBorders>
              <w:top w:val="none" w:color="FFFFFF" w:sz="0"/>
              <w:left w:val="none" w:color="FFFFFF" w:sz="0"/>
              <w:bottom w:val="none" w:color="FFFFFF" w:sz="0"/>
              <w:right w:val="none" w:color="FFFFFF" w:sz="0"/>
            </w:tcBorders>
            <w:tcMar>
              <w:top w:type="dxa" w:w="36"/>
              <w:left w:type="dxa" w:w="0"/>
              <w:bottom w:type="dxa" w:w="36"/>
              <w:right w:type="dxa" w:w="0"/>
            </w:tcMar>
          </w:tcPr>
          <w:p>
            <w:pPr>
              <w:spacing w:after="20"/>
            </w:pPr>
            <w:r>
              <w:rPr>
                <w:rFonts w:ascii="Calibri" w:cs="Calibri" w:eastAsia="Calibri" w:hAnsi="Calibri"/>
                <w:b/>
                <w:bCs/>
                <w:i w:val="false"/>
                <w:iCs w:val="false"/>
                <w:color w:val="1B3A5B"/>
                <w:sz w:val="21"/>
                <w:szCs w:val="21"/>
              </w:rPr>
              <w:t xml:space="preserve">Receive your prefilled contract via Adobe Sign</w:t>
            </w:r>
          </w:p>
          <w:p>
            <w:pPr>
              <w:spacing w:line="234"/>
            </w:pPr>
            <w:r>
              <w:rPr>
                <w:rFonts w:ascii="Calibri" w:cs="Calibri" w:eastAsia="Calibri" w:hAnsi="Calibri"/>
                <w:b w:val="false"/>
                <w:bCs w:val="false"/>
                <w:i w:val="false"/>
                <w:iCs w:val="false"/>
                <w:color w:val="1A1A1A"/>
                <w:sz w:val="20"/>
                <w:szCs w:val="20"/>
              </w:rPr>
              <w:t xml:space="preserve">H-GAC reviews your form and emails a prefilled ILC to your authorized signatory through Adobe Sign.</w:t>
            </w:r>
          </w:p>
        </w:tc>
      </w:tr>
    </w:tbl>
    <w:tbl>
      <w:tblPr>
        <w:tblW w:type="dxa" w:w="10880"/>
        <w:tblBorders>
          <w:top w:val="none" w:color="FFFFFF" w:sz="0"/>
          <w:left w:val="none" w:color="FFFFFF" w:sz="0"/>
          <w:bottom w:val="none" w:color="FFFFFF" w:sz="0"/>
          <w:right w:val="none" w:color="FFFFFF" w:sz="0"/>
          <w:insideH w:val="none" w:color="FFFFFF" w:sz="0"/>
          <w:insideV w:val="none" w:color="FFFFFF" w:sz="0"/>
        </w:tblBorders>
      </w:tblPr>
      <w:tblGrid>
        <w:gridCol w:w="520"/>
        <w:gridCol w:w="10360"/>
      </w:tblGrid>
      <w:tr>
        <w:tc>
          <w:tcPr>
            <w:tcW w:type="dxa" w:w="520"/>
            <w:tcBorders>
              <w:top w:val="none" w:color="FFFFFF" w:sz="0"/>
              <w:left w:val="none" w:color="FFFFFF" w:sz="0"/>
              <w:bottom w:val="none" w:color="FFFFFF" w:sz="0"/>
              <w:right w:val="none" w:color="FFFFFF" w:sz="0"/>
            </w:tcBorders>
            <w:tcMar>
              <w:top w:type="dxa" w:w="36"/>
              <w:left w:type="dxa" w:w="0"/>
              <w:bottom w:type="dxa" w:w="36"/>
              <w:right w:type="dxa" w:w="100"/>
            </w:tcMar>
          </w:tcPr>
          <w:p>
            <w:r>
              <w:rPr>
                <w:rFonts w:ascii="Calibri" w:cs="Calibri" w:eastAsia="Calibri" w:hAnsi="Calibri"/>
                <w:b/>
                <w:bCs/>
                <w:i w:val="false"/>
                <w:iCs w:val="false"/>
                <w:color w:val="C1272D"/>
                <w:sz w:val="30"/>
                <w:szCs w:val="30"/>
              </w:rPr>
              <w:t xml:space="preserve">4</w:t>
            </w:r>
          </w:p>
        </w:tc>
        <w:tc>
          <w:tcPr>
            <w:tcW w:type="dxa" w:w="10360"/>
            <w:tcBorders>
              <w:top w:val="none" w:color="FFFFFF" w:sz="0"/>
              <w:left w:val="none" w:color="FFFFFF" w:sz="0"/>
              <w:bottom w:val="none" w:color="FFFFFF" w:sz="0"/>
              <w:right w:val="none" w:color="FFFFFF" w:sz="0"/>
            </w:tcBorders>
            <w:tcMar>
              <w:top w:type="dxa" w:w="36"/>
              <w:left w:type="dxa" w:w="0"/>
              <w:bottom w:type="dxa" w:w="36"/>
              <w:right w:type="dxa" w:w="0"/>
            </w:tcMar>
          </w:tcPr>
          <w:p>
            <w:pPr>
              <w:spacing w:after="20"/>
            </w:pPr>
            <w:r>
              <w:rPr>
                <w:rFonts w:ascii="Calibri" w:cs="Calibri" w:eastAsia="Calibri" w:hAnsi="Calibri"/>
                <w:b/>
                <w:bCs/>
                <w:i w:val="false"/>
                <w:iCs w:val="false"/>
                <w:color w:val="1B3A5B"/>
                <w:sz w:val="21"/>
                <w:szCs w:val="21"/>
              </w:rPr>
              <w:t xml:space="preserve">Have your Authorized Official sign</w:t>
            </w:r>
          </w:p>
          <w:p>
            <w:pPr>
              <w:spacing w:line="234"/>
            </w:pPr>
            <w:r>
              <w:rPr>
                <w:rFonts w:ascii="Calibri" w:cs="Calibri" w:eastAsia="Calibri" w:hAnsi="Calibri"/>
                <w:b w:val="false"/>
                <w:bCs w:val="false"/>
                <w:i w:val="false"/>
                <w:iCs w:val="false"/>
                <w:color w:val="1A1A1A"/>
                <w:sz w:val="20"/>
                <w:szCs w:val="20"/>
              </w:rPr>
              <w:t xml:space="preserve">The individual with authority to legally bind your entity signs the ILC.</w:t>
            </w:r>
          </w:p>
        </w:tc>
      </w:tr>
    </w:tbl>
    <w:tbl>
      <w:tblPr>
        <w:tblW w:type="dxa" w:w="10880"/>
        <w:tblBorders>
          <w:top w:val="none" w:color="FFFFFF" w:sz="0"/>
          <w:left w:val="none" w:color="FFFFFF" w:sz="0"/>
          <w:bottom w:val="none" w:color="FFFFFF" w:sz="0"/>
          <w:right w:val="none" w:color="FFFFFF" w:sz="0"/>
          <w:insideH w:val="none" w:color="FFFFFF" w:sz="0"/>
          <w:insideV w:val="none" w:color="FFFFFF" w:sz="0"/>
        </w:tblBorders>
      </w:tblPr>
      <w:tblGrid>
        <w:gridCol w:w="520"/>
        <w:gridCol w:w="10360"/>
      </w:tblGrid>
      <w:tr>
        <w:tc>
          <w:tcPr>
            <w:tcW w:type="dxa" w:w="520"/>
            <w:tcBorders>
              <w:top w:val="none" w:color="FFFFFF" w:sz="0"/>
              <w:left w:val="none" w:color="FFFFFF" w:sz="0"/>
              <w:bottom w:val="none" w:color="FFFFFF" w:sz="0"/>
              <w:right w:val="none" w:color="FFFFFF" w:sz="0"/>
            </w:tcBorders>
            <w:tcMar>
              <w:top w:type="dxa" w:w="36"/>
              <w:left w:type="dxa" w:w="0"/>
              <w:bottom w:type="dxa" w:w="36"/>
              <w:right w:type="dxa" w:w="100"/>
            </w:tcMar>
          </w:tcPr>
          <w:p>
            <w:r>
              <w:rPr>
                <w:rFonts w:ascii="Calibri" w:cs="Calibri" w:eastAsia="Calibri" w:hAnsi="Calibri"/>
                <w:b/>
                <w:bCs/>
                <w:i w:val="false"/>
                <w:iCs w:val="false"/>
                <w:color w:val="C1272D"/>
                <w:sz w:val="30"/>
                <w:szCs w:val="30"/>
              </w:rPr>
              <w:t xml:space="preserve">5</w:t>
            </w:r>
          </w:p>
        </w:tc>
        <w:tc>
          <w:tcPr>
            <w:tcW w:type="dxa" w:w="10360"/>
            <w:tcBorders>
              <w:top w:val="none" w:color="FFFFFF" w:sz="0"/>
              <w:left w:val="none" w:color="FFFFFF" w:sz="0"/>
              <w:bottom w:val="none" w:color="FFFFFF" w:sz="0"/>
              <w:right w:val="none" w:color="FFFFFF" w:sz="0"/>
            </w:tcBorders>
            <w:tcMar>
              <w:top w:type="dxa" w:w="36"/>
              <w:left w:type="dxa" w:w="0"/>
              <w:bottom w:type="dxa" w:w="36"/>
              <w:right w:type="dxa" w:w="0"/>
            </w:tcMar>
          </w:tcPr>
          <w:p>
            <w:pPr>
              <w:spacing w:after="20"/>
            </w:pPr>
            <w:r>
              <w:rPr>
                <w:rFonts w:ascii="Calibri" w:cs="Calibri" w:eastAsia="Calibri" w:hAnsi="Calibri"/>
                <w:b/>
                <w:bCs/>
                <w:i w:val="false"/>
                <w:iCs w:val="false"/>
                <w:color w:val="1B3A5B"/>
                <w:sz w:val="21"/>
                <w:szCs w:val="21"/>
              </w:rPr>
              <w:t xml:space="preserve">H-GAC countersigns and returns it</w:t>
            </w:r>
          </w:p>
          <w:p>
            <w:pPr>
              <w:spacing w:line="234"/>
            </w:pPr>
            <w:r>
              <w:rPr>
                <w:rFonts w:ascii="Calibri" w:cs="Calibri" w:eastAsia="Calibri" w:hAnsi="Calibri"/>
                <w:b w:val="false"/>
                <w:bCs w:val="false"/>
                <w:i w:val="false"/>
                <w:iCs w:val="false"/>
                <w:color w:val="1A1A1A"/>
                <w:sz w:val="20"/>
                <w:szCs w:val="20"/>
              </w:rPr>
              <w:t xml:space="preserve">Once you execute the contract, H-GAC countersigns and returns the completed ILC electronically. Your agency is now a member.</w:t>
            </w:r>
          </w:p>
        </w:tc>
      </w:tr>
    </w:tbl>
    <w:tbl>
      <w:tblPr>
        <w:tblW w:type="dxa" w:w="10880"/>
        <w:tblBorders>
          <w:top w:val="none" w:color="FFFFFF" w:sz="0"/>
          <w:left w:val="none" w:color="FFFFFF" w:sz="0"/>
          <w:bottom w:val="none" w:color="FFFFFF" w:sz="0"/>
          <w:right w:val="none" w:color="FFFFFF" w:sz="0"/>
          <w:insideH w:val="none" w:color="FFFFFF" w:sz="0"/>
          <w:insideV w:val="none" w:color="FFFFFF" w:sz="0"/>
        </w:tblBorders>
      </w:tblPr>
      <w:tblGrid>
        <w:gridCol w:w="520"/>
        <w:gridCol w:w="10360"/>
      </w:tblGrid>
      <w:tr>
        <w:tc>
          <w:tcPr>
            <w:tcW w:type="dxa" w:w="520"/>
            <w:tcBorders>
              <w:top w:val="none" w:color="FFFFFF" w:sz="0"/>
              <w:left w:val="none" w:color="FFFFFF" w:sz="0"/>
              <w:bottom w:val="none" w:color="FFFFFF" w:sz="0"/>
              <w:right w:val="none" w:color="FFFFFF" w:sz="0"/>
            </w:tcBorders>
            <w:tcMar>
              <w:top w:type="dxa" w:w="36"/>
              <w:left w:type="dxa" w:w="0"/>
              <w:bottom w:type="dxa" w:w="36"/>
              <w:right w:type="dxa" w:w="100"/>
            </w:tcMar>
          </w:tcPr>
          <w:p>
            <w:r>
              <w:rPr>
                <w:rFonts w:ascii="Calibri" w:cs="Calibri" w:eastAsia="Calibri" w:hAnsi="Calibri"/>
                <w:b/>
                <w:bCs/>
                <w:i w:val="false"/>
                <w:iCs w:val="false"/>
                <w:color w:val="C1272D"/>
                <w:sz w:val="30"/>
                <w:szCs w:val="30"/>
              </w:rPr>
              <w:t xml:space="preserve">6</w:t>
            </w:r>
          </w:p>
        </w:tc>
        <w:tc>
          <w:tcPr>
            <w:tcW w:type="dxa" w:w="10360"/>
            <w:tcBorders>
              <w:top w:val="none" w:color="FFFFFF" w:sz="0"/>
              <w:left w:val="none" w:color="FFFFFF" w:sz="0"/>
              <w:bottom w:val="none" w:color="FFFFFF" w:sz="0"/>
              <w:right w:val="none" w:color="FFFFFF" w:sz="0"/>
            </w:tcBorders>
            <w:tcMar>
              <w:top w:type="dxa" w:w="36"/>
              <w:left w:type="dxa" w:w="0"/>
              <w:bottom w:type="dxa" w:w="36"/>
              <w:right w:type="dxa" w:w="0"/>
            </w:tcMar>
          </w:tcPr>
          <w:p>
            <w:pPr>
              <w:spacing w:after="20"/>
            </w:pPr>
            <w:r>
              <w:rPr>
                <w:rFonts w:ascii="Calibri" w:cs="Calibri" w:eastAsia="Calibri" w:hAnsi="Calibri"/>
                <w:b/>
                <w:bCs/>
                <w:i w:val="false"/>
                <w:iCs w:val="false"/>
                <w:color w:val="1B3A5B"/>
                <w:sz w:val="21"/>
                <w:szCs w:val="21"/>
              </w:rPr>
              <w:t xml:space="preserve">Purchase Chief 360 off contract AO05-26</w:t>
            </w:r>
          </w:p>
          <w:p>
            <w:pPr>
              <w:spacing w:line="234"/>
            </w:pPr>
            <w:r>
              <w:rPr>
                <w:rFonts w:ascii="Calibri" w:cs="Calibri" w:eastAsia="Calibri" w:hAnsi="Calibri"/>
                <w:b w:val="false"/>
                <w:bCs w:val="false"/>
                <w:i w:val="false"/>
                <w:iCs w:val="false"/>
                <w:color w:val="1A1A1A"/>
                <w:sz w:val="20"/>
                <w:szCs w:val="20"/>
              </w:rPr>
              <w:t xml:space="preserve">Reference the contract number and buy directly from Chief Technologies (details below) at the 10% cooperative discount.</w:t>
            </w:r>
          </w:p>
        </w:tc>
      </w:tr>
    </w:tbl>
    <w:p>
      <w:pPr>
        <w:spacing w:after="60"/>
      </w:pPr>
    </w:p>
    <w:tbl>
      <w:tblPr>
        <w:tblW w:type="dxa" w:w="10880"/>
        <w:tblBorders>
          <w:top w:val="none" w:color="FFFFFF" w:sz="0"/>
          <w:left w:val="none" w:color="FFFFFF" w:sz="0"/>
          <w:bottom w:val="none" w:color="FFFFFF" w:sz="0"/>
          <w:right w:val="none" w:color="FFFFFF" w:sz="0"/>
          <w:insideH w:val="none" w:color="FFFFFF" w:sz="0"/>
          <w:insideV w:val="none" w:color="FFFFFF" w:sz="0"/>
        </w:tblBorders>
      </w:tblPr>
      <w:tblGrid>
        <w:gridCol w:w="10880"/>
      </w:tblGrid>
      <w:tr>
        <w:tc>
          <w:tcPr>
            <w:tcW w:type="dxa" w:w="10880"/>
            <w:tcBorders>
              <w:top w:val="none" w:color="FFFFFF" w:sz="0"/>
              <w:left w:val="single" w:color="1B3A5B" w:sz="24"/>
              <w:bottom w:val="none" w:color="FFFFFF" w:sz="0"/>
              <w:right w:val="none" w:color="FFFFFF" w:sz="0"/>
            </w:tcBorders>
            <w:shd w:fill="EDF1F5" w:color="auto" w:val="clear"/>
            <w:tcMar>
              <w:top w:type="dxa" w:w="90"/>
              <w:left w:type="dxa" w:w="200"/>
              <w:bottom w:type="dxa" w:w="90"/>
              <w:right w:type="dxa" w:w="200"/>
            </w:tcMar>
          </w:tcPr>
          <w:p>
            <w:pPr>
              <w:spacing w:line="258"/>
            </w:pPr>
            <w:r>
              <w:rPr>
                <w:rFonts w:ascii="Calibri" w:cs="Calibri" w:eastAsia="Calibri" w:hAnsi="Calibri"/>
                <w:b/>
                <w:bCs/>
                <w:i w:val="false"/>
                <w:iCs w:val="false"/>
                <w:color w:val="1B3A5B"/>
                <w:sz w:val="19"/>
                <w:szCs w:val="19"/>
              </w:rPr>
              <w:t xml:space="preserve">Nonprofit or volunteer fire department?  </w:t>
            </w:r>
            <w:r>
              <w:rPr>
                <w:rFonts w:ascii="Calibri" w:cs="Calibri" w:eastAsia="Calibri" w:hAnsi="Calibri"/>
                <w:b w:val="false"/>
                <w:bCs w:val="false"/>
                <w:i w:val="false"/>
                <w:iCs w:val="false"/>
                <w:color w:val="1A1A1A"/>
                <w:sz w:val="19"/>
                <w:szCs w:val="19"/>
              </w:rPr>
              <w:t xml:space="preserve">Along with the ILC, you’ll submit your 501(c)(3) form, your charter and bylaws highlighting the governmental service you provide, and a governmental-service certification (included in the Non-Profit ILC).</w:t>
            </w:r>
          </w:p>
        </w:tc>
      </w:tr>
    </w:tbl>
    <w:p>
      <w:pPr>
        <w:spacing w:after="80"/>
      </w:pPr>
    </w:p>
    <w:p>
      <w:pPr>
        <w:pBdr>
          <w:bottom w:val="single" w:color="C1272D" w:sz="12" w:space="4"/>
        </w:pBdr>
        <w:spacing w:after="55" w:before="26"/>
      </w:pPr>
      <w:r>
        <w:rPr>
          <w:rFonts w:ascii="Calibri" w:cs="Calibri" w:eastAsia="Calibri" w:hAnsi="Calibri"/>
          <w:b/>
          <w:bCs/>
          <w:i w:val="false"/>
          <w:iCs w:val="false"/>
          <w:color w:val="1B3A5B"/>
          <w:sz w:val="22"/>
          <w:szCs w:val="22"/>
        </w:rPr>
        <w:t xml:space="preserve">BUY OFF THE CONTRACT</w:t>
      </w:r>
    </w:p>
    <w:tbl>
      <w:tblPr>
        <w:tblW w:type="dxa" w:w="10880"/>
        <w:tblBorders>
          <w:top w:val="none" w:color="FFFFFF" w:sz="0"/>
          <w:left w:val="none" w:color="FFFFFF" w:sz="0"/>
          <w:bottom w:val="none" w:color="FFFFFF" w:sz="0"/>
          <w:right w:val="none" w:color="FFFFFF" w:sz="0"/>
          <w:insideH w:val="none" w:color="FFFFFF" w:sz="0"/>
          <w:insideV w:val="none" w:color="FFFFFF" w:sz="0"/>
        </w:tblBorders>
      </w:tblPr>
      <w:tblGrid>
        <w:gridCol w:w="10880"/>
      </w:tblGrid>
      <w:tr>
        <w:tc>
          <w:tcPr>
            <w:tcW w:type="dxa" w:w="10880"/>
            <w:tcBorders>
              <w:top w:val="none" w:color="FFFFFF" w:sz="0"/>
              <w:left w:val="none" w:color="FFFFFF" w:sz="0"/>
              <w:bottom w:val="none" w:color="FFFFFF" w:sz="0"/>
              <w:right w:val="none" w:color="FFFFFF" w:sz="0"/>
            </w:tcBorders>
            <w:shd w:fill="F2F4F6" w:color="auto" w:val="clear"/>
            <w:tcMar>
              <w:top w:type="dxa" w:w="70"/>
              <w:left w:type="dxa" w:w="200"/>
              <w:bottom w:type="dxa" w:w="70"/>
              <w:right w:type="dxa" w:w="200"/>
            </w:tcMar>
          </w:tcPr>
          <w:tbl>
            <w:tblPr>
              <w:tblW w:type="dxa" w:w="10480"/>
              <w:tblBorders>
                <w:top w:val="none" w:color="FFFFFF" w:sz="0"/>
                <w:left w:val="none" w:color="FFFFFF" w:sz="0"/>
                <w:bottom w:val="none" w:color="FFFFFF" w:sz="0"/>
                <w:right w:val="none" w:color="FFFFFF" w:sz="0"/>
                <w:insideH w:val="none" w:color="FFFFFF" w:sz="0"/>
                <w:insideV w:val="none" w:color="FFFFFF" w:sz="0"/>
              </w:tblBorders>
            </w:tblPr>
            <w:tblGrid>
              <w:gridCol w:w="3144"/>
              <w:gridCol w:w="7336"/>
            </w:tblGrid>
            <w:tr>
              <w:tc>
                <w:tcPr>
                  <w:tcW w:type="dxa" w:w="3144"/>
                  <w:tcBorders>
                    <w:top w:val="none" w:color="FFFFFF" w:sz="0"/>
                    <w:left w:val="none" w:color="FFFFFF" w:sz="0"/>
                    <w:bottom w:val="none" w:color="FFFFFF" w:sz="0"/>
                    <w:right w:val="none" w:color="FFFFFF" w:sz="0"/>
                  </w:tcBorders>
                  <w:tcMar>
                    <w:top w:type="dxa" w:w="32"/>
                    <w:left w:type="dxa" w:w="160"/>
                    <w:bottom w:type="dxa" w:w="32"/>
                    <w:right w:type="dxa" w:w="120"/>
                  </w:tcMar>
                </w:tcPr>
                <w:p>
                  <w:r>
                    <w:rPr>
                      <w:rFonts w:ascii="Calibri" w:cs="Calibri" w:eastAsia="Calibri" w:hAnsi="Calibri"/>
                      <w:b/>
                      <w:bCs/>
                      <w:i w:val="false"/>
                      <w:iCs w:val="false"/>
                      <w:color w:val="1B3A5B"/>
                      <w:sz w:val="19"/>
                      <w:szCs w:val="19"/>
                    </w:rPr>
                    <w:t xml:space="preserve">Reference contract</w:t>
                  </w:r>
                </w:p>
              </w:tc>
              <w:tc>
                <w:tcPr>
                  <w:tcW w:type="dxa" w:w="7336"/>
                  <w:tcBorders>
                    <w:top w:val="none" w:color="FFFFFF" w:sz="0"/>
                    <w:left w:val="none" w:color="FFFFFF" w:sz="0"/>
                    <w:bottom w:val="single" w:color="D6DBE1" w:sz="4"/>
                    <w:right w:val="none" w:color="FFFFFF" w:sz="0"/>
                  </w:tcBorders>
                  <w:tcMar>
                    <w:top w:type="dxa" w:w="32"/>
                    <w:left w:type="dxa" w:w="0"/>
                    <w:bottom w:type="dxa" w:w="32"/>
                    <w:right w:type="dxa" w:w="160"/>
                  </w:tcMar>
                </w:tcPr>
                <w:p>
                  <w:r>
                    <w:rPr>
                      <w:rFonts w:ascii="Calibri" w:cs="Calibri" w:eastAsia="Calibri" w:hAnsi="Calibri"/>
                      <w:b w:val="false"/>
                      <w:bCs w:val="false"/>
                      <w:i w:val="false"/>
                      <w:iCs w:val="false"/>
                      <w:color w:val="1A1A1A"/>
                      <w:sz w:val="19"/>
                      <w:szCs w:val="19"/>
                    </w:rPr>
                    <w:t xml:space="preserve">AO05-26  —  10% cooperative discount</w:t>
                  </w:r>
                </w:p>
              </w:tc>
            </w:tr>
            <w:tr>
              <w:tc>
                <w:tcPr>
                  <w:tcW w:type="dxa" w:w="3144"/>
                  <w:tcBorders>
                    <w:top w:val="none" w:color="FFFFFF" w:sz="0"/>
                    <w:left w:val="none" w:color="FFFFFF" w:sz="0"/>
                    <w:bottom w:val="none" w:color="FFFFFF" w:sz="0"/>
                    <w:right w:val="none" w:color="FFFFFF" w:sz="0"/>
                  </w:tcBorders>
                  <w:tcMar>
                    <w:top w:type="dxa" w:w="32"/>
                    <w:left w:type="dxa" w:w="160"/>
                    <w:bottom w:type="dxa" w:w="32"/>
                    <w:right w:type="dxa" w:w="120"/>
                  </w:tcMar>
                </w:tcPr>
                <w:p>
                  <w:r>
                    <w:rPr>
                      <w:rFonts w:ascii="Calibri" w:cs="Calibri" w:eastAsia="Calibri" w:hAnsi="Calibri"/>
                      <w:b/>
                      <w:bCs/>
                      <w:i w:val="false"/>
                      <w:iCs w:val="false"/>
                      <w:color w:val="1B3A5B"/>
                      <w:sz w:val="19"/>
                      <w:szCs w:val="19"/>
                    </w:rPr>
                    <w:t xml:space="preserve">Buy from</w:t>
                  </w:r>
                </w:p>
              </w:tc>
              <w:tc>
                <w:tcPr>
                  <w:tcW w:type="dxa" w:w="7336"/>
                  <w:tcBorders>
                    <w:top w:val="none" w:color="FFFFFF" w:sz="0"/>
                    <w:left w:val="none" w:color="FFFFFF" w:sz="0"/>
                    <w:bottom w:val="single" w:color="D6DBE1" w:sz="4"/>
                    <w:right w:val="none" w:color="FFFFFF" w:sz="0"/>
                  </w:tcBorders>
                  <w:tcMar>
                    <w:top w:type="dxa" w:w="32"/>
                    <w:left w:type="dxa" w:w="0"/>
                    <w:bottom w:type="dxa" w:w="32"/>
                    <w:right w:type="dxa" w:w="160"/>
                  </w:tcMar>
                </w:tcPr>
                <w:p>
                  <w:r>
                    <w:rPr>
                      <w:rFonts w:ascii="Calibri" w:cs="Calibri" w:eastAsia="Calibri" w:hAnsi="Calibri"/>
                      <w:b w:val="false"/>
                      <w:bCs w:val="false"/>
                      <w:i w:val="false"/>
                      <w:iCs w:val="false"/>
                      <w:color w:val="1A1A1A"/>
                      <w:sz w:val="19"/>
                      <w:szCs w:val="19"/>
                    </w:rPr>
                    <w:t xml:space="preserve">Chief Technologies (Chief 360)</w:t>
                  </w:r>
                </w:p>
              </w:tc>
            </w:tr>
            <w:tr>
              <w:tc>
                <w:tcPr>
                  <w:tcW w:type="dxa" w:w="3144"/>
                  <w:tcBorders>
                    <w:top w:val="none" w:color="FFFFFF" w:sz="0"/>
                    <w:left w:val="none" w:color="FFFFFF" w:sz="0"/>
                    <w:bottom w:val="none" w:color="FFFFFF" w:sz="0"/>
                    <w:right w:val="none" w:color="FFFFFF" w:sz="0"/>
                  </w:tcBorders>
                  <w:tcMar>
                    <w:top w:type="dxa" w:w="32"/>
                    <w:left w:type="dxa" w:w="160"/>
                    <w:bottom w:type="dxa" w:w="32"/>
                    <w:right w:type="dxa" w:w="120"/>
                  </w:tcMar>
                </w:tcPr>
                <w:p>
                  <w:r>
                    <w:rPr>
                      <w:rFonts w:ascii="Calibri" w:cs="Calibri" w:eastAsia="Calibri" w:hAnsi="Calibri"/>
                      <w:b/>
                      <w:bCs/>
                      <w:i w:val="false"/>
                      <w:iCs w:val="false"/>
                      <w:color w:val="1B3A5B"/>
                      <w:sz w:val="19"/>
                      <w:szCs w:val="19"/>
                    </w:rPr>
                    <w:t xml:space="preserve">Purchasing contact</w:t>
                  </w:r>
                </w:p>
              </w:tc>
              <w:tc>
                <w:tcPr>
                  <w:tcW w:type="dxa" w:w="7336"/>
                  <w:tcBorders>
                    <w:top w:val="none" w:color="FFFFFF" w:sz="0"/>
                    <w:left w:val="none" w:color="FFFFFF" w:sz="0"/>
                    <w:bottom w:val="single" w:color="D6DBE1" w:sz="4"/>
                    <w:right w:val="none" w:color="FFFFFF" w:sz="0"/>
                  </w:tcBorders>
                  <w:tcMar>
                    <w:top w:type="dxa" w:w="32"/>
                    <w:left w:type="dxa" w:w="0"/>
                    <w:bottom w:type="dxa" w:w="32"/>
                    <w:right w:type="dxa" w:w="160"/>
                  </w:tcMar>
                </w:tcPr>
                <w:p>
                  <w:r>
                    <w:rPr>
                      <w:rFonts w:ascii="Calibri" w:cs="Calibri" w:eastAsia="Calibri" w:hAnsi="Calibri"/>
                      <w:b w:val="false"/>
                      <w:bCs w:val="false"/>
                      <w:i w:val="false"/>
                      <w:iCs w:val="false"/>
                      <w:color w:val="1A1A1A"/>
                      <w:sz w:val="19"/>
                      <w:szCs w:val="19"/>
                    </w:rPr>
                    <w:t xml:space="preserve">Joe Enste  ·  (866) 438-7793</w:t>
                  </w:r>
                </w:p>
              </w:tc>
            </w:tr>
          </w:tbl>
          <w:p/>
        </w:tc>
      </w:tr>
    </w:tbl>
    <w:p>
      <w:pPr>
        <w:pBdr>
          <w:top w:val="single" w:color="D6DBE1" w:sz="6" w:space="5"/>
        </w:pBdr>
        <w:spacing w:before="16"/>
      </w:pPr>
      <w:r>
        <w:rPr>
          <w:rFonts w:ascii="Calibri" w:cs="Calibri" w:eastAsia="Calibri" w:hAnsi="Calibri"/>
          <w:b/>
          <w:bCs/>
          <w:i w:val="false"/>
          <w:iCs w:val="false"/>
          <w:color w:val="1B3A5B"/>
          <w:sz w:val="18"/>
          <w:szCs w:val="18"/>
        </w:rPr>
        <w:t xml:space="preserve">Membership help?  </w:t>
      </w:r>
      <w:r>
        <w:rPr>
          <w:rFonts w:ascii="Calibri" w:cs="Calibri" w:eastAsia="Calibri" w:hAnsi="Calibri"/>
          <w:b w:val="false"/>
          <w:bCs w:val="false"/>
          <w:i w:val="false"/>
          <w:iCs w:val="false"/>
          <w:color w:val="5A6470"/>
          <w:sz w:val="18"/>
          <w:szCs w:val="18"/>
        </w:rPr>
        <w:t xml:space="preserve">HGACBuy Member Services  ·  832-810-2667      Contract: Veronica Johnson  ·  713-993-2446</w:t>
      </w:r>
      <w:r>
        <w:rPr>
          <w:rFonts w:ascii="Calibri" w:cs="Calibri" w:eastAsia="Calibri" w:hAnsi="Calibri"/>
          <w:b w:val="false"/>
          <w:bCs w:val="false"/>
          <w:i w:val="false"/>
          <w:iCs w:val="false"/>
          <w:color w:val="5A6470"/>
          <w:sz w:val="18"/>
          <w:szCs w:val="18"/>
        </w:rPr>
        <w:t xml:space="preserve">      chief360.com</w:t>
      </w:r>
    </w:p>
    <w:sectPr>
      <w:pgSz w:w="12240" w:h="15840" w:orient="portrait"/>
      <w:pgMar w:top="680" w:right="680" w:bottom="680" w:left="6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Buy Chief 360 Through HGACBuy</dc:title>
  <dc:creator>Chief 360</dc:creator>
  <cp:lastModifiedBy>Un-named</cp:lastModifiedBy>
  <cp:revision>1</cp:revision>
  <dcterms:created xsi:type="dcterms:W3CDTF">2026-09-02T03:45:02.926Z</dcterms:created>
  <dcterms:modified xsi:type="dcterms:W3CDTF">2026-09-02T03:45:02.926Z</dcterms:modified>
</cp:coreProperties>
</file>

<file path=docProps/custom.xml><?xml version="1.0" encoding="utf-8"?>
<Properties xmlns="http://schemas.openxmlformats.org/officeDocument/2006/custom-properties" xmlns:vt="http://schemas.openxmlformats.org/officeDocument/2006/docPropsVTypes"/>
</file>